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0"/>
        <w:gridCol w:w="3450"/>
        <w:tblGridChange w:id="0">
          <w:tblGrid>
            <w:gridCol w:w="7350"/>
            <w:gridCol w:w="3450"/>
          </w:tblGrid>
        </w:tblGridChange>
      </w:tblGrid>
      <w:tr>
        <w:trPr>
          <w:trHeight w:val="8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Syncopate" w:cs="Syncopate" w:eastAsia="Syncopate" w:hAnsi="Syncopate"/>
                <w:b w:val="1"/>
                <w:sz w:val="60"/>
                <w:szCs w:val="60"/>
                <w:rtl w:val="0"/>
              </w:rPr>
              <w:t xml:space="preserve">Annotating Marks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Directions: 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While you read, use these marks to help you understand the text.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Write important thoughts in the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8"/>
                <w:szCs w:val="48"/>
                <w:rtl w:val="0"/>
              </w:rPr>
              <w:t xml:space="preserve">↓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rtl w:val="0"/>
              </w:rPr>
              <w:t xml:space="preserve">margins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48"/>
                <w:szCs w:val="48"/>
                <w:rtl w:val="0"/>
              </w:rPr>
              <w:t xml:space="preserve">↓</w:t>
            </w:r>
          </w:p>
        </w:tc>
      </w:tr>
      <w:tr>
        <w:trPr>
          <w:trHeight w:val="1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left"/>
            </w:pP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powerful words powerful phrases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0" locked="0" relativeHeight="0" simplePos="0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70908</wp:posOffset>
                      </wp:positionV>
                      <wp:extent cx="1393389" cy="764117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736775" y="1405300"/>
                                <a:ext cx="1393389" cy="764117"/>
                                <a:chOff x="1736775" y="1405300"/>
                                <a:chExt cx="1450500" cy="768000"/>
                              </a:xfrm>
                            </wpg:grpSpPr>
                            <wps:wsp>
                              <wps:cNvSpPr/>
                              <wps:cNvPr id="1" name="Shape 1"/>
                              <wps:spPr>
                                <a:xfrm>
                                  <a:off x="1736775" y="1405300"/>
                                  <a:ext cx="1450500" cy="768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381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2" name="Shape 2"/>
                              <wps:spPr>
                                <a:xfrm>
                                  <a:off x="1806075" y="1531600"/>
                                  <a:ext cx="1311899" cy="515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Trebuchet MS" w:cs="Trebuchet MS" w:eastAsia="Trebuchet MS" w:hAnsi="Trebuchet MS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60"/>
                                        <w:vertAlign w:val="baseline"/>
                                      </w:rPr>
                                      <w:t xml:space="preserve">Circle</w:t>
                                    </w:r>
                                  </w:p>
                                </w:txbxContent>
                              </wps:txbx>
                              <wps:bodyPr anchorCtr="0" anchor="t" bIns="91425" lIns="91425" rIns="91425" tIns="91425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0" behindDoc="0" distB="0" distT="0" distL="0" distR="0" hidden="0" layoutInCell="0" locked="0" relativeHeight="0" simplePos="0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70908</wp:posOffset>
                      </wp:positionV>
                      <wp:extent cx="1393389" cy="764117"/>
                      <wp:effectExtent b="0" l="0" r="0" t="0"/>
                      <wp:wrapSquare wrapText="bothSides" distB="0" distT="0" distL="0" distR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3389" cy="7641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the question in the margin!</w:t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what surprised you!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what connection you made.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8"/>
                <w:szCs w:val="28"/>
                <w:rtl w:val="0"/>
              </w:rPr>
              <w:t xml:space="preserve">Write words or phrases that restate them!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words or phrases you do not understand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72"/>
                <w:szCs w:val="72"/>
                <w:rtl w:val="0"/>
              </w:rPr>
              <w:t xml:space="preserve">?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raises a question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ind w:firstLine="720"/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72"/>
                <w:szCs w:val="72"/>
                <w:rtl w:val="0"/>
              </w:rPr>
              <w:t xml:space="preserve">!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Something surprised you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72"/>
                <w:szCs w:val="72"/>
                <w:rtl w:val="0"/>
              </w:rPr>
              <w:t xml:space="preserve">→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Draw an arrow when you make a connection to text, ideas, or experiences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60"/>
                <w:szCs w:val="60"/>
                <w:rtl w:val="0"/>
              </w:rPr>
              <w:t xml:space="preserve">EX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when the author provides 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48"/>
                <w:szCs w:val="48"/>
                <w:rtl w:val="0"/>
              </w:rPr>
              <w:t xml:space="preserve">1, 2, 3,...</w:t>
            </w:r>
            <w:r w:rsidDel="00000000" w:rsidR="00000000" w:rsidRPr="00000000">
              <w:rPr>
                <w:rFonts w:ascii="Trebuchet MS" w:cs="Trebuchet MS" w:eastAsia="Trebuchet MS" w:hAnsi="Trebuchet MS"/>
                <w:sz w:val="48"/>
                <w:szCs w:val="48"/>
                <w:rtl w:val="0"/>
              </w:rPr>
              <w:t xml:space="preserve"> Number arguments, important ideas, or key details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  <w:font w:name="Syncopate">
    <w:embedRegular r:id="rId1" w:subsetted="0"/>
    <w:embedBold r:id="rId2" w:subsetted="0"/>
  </w:font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